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厦门公物－公开招标－GW2016-151-高速高精度五轴加工中心</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GW2016-151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0592-5909030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厦门市湖滨南路81号光大银行大厦21楼，电话：0592-2230888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高速高精度五轴加工中心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00" w:lineRule="atLeast"/>
              <w:ind w:left="0" w:right="0"/>
              <w:jc w:val="left"/>
            </w:pPr>
            <w:r>
              <w:rPr>
                <w:rFonts w:hint="eastAsia" w:ascii="宋体" w:hAnsi="宋体" w:eastAsia="宋体" w:cs="宋体"/>
                <w:kern w:val="0"/>
                <w:sz w:val="18"/>
                <w:szCs w:val="18"/>
                <w:lang w:val="en-US" w:eastAsia="zh-CN" w:bidi="ar"/>
              </w:rPr>
              <w:t>高速高精度五轴加工中心1台；</w:t>
            </w:r>
          </w:p>
          <w:p>
            <w:pPr>
              <w:keepNext w:val="0"/>
              <w:keepLines w:val="0"/>
              <w:widowControl/>
              <w:suppressLineNumbers w:val="0"/>
              <w:jc w:val="left"/>
              <w:rPr>
                <w:sz w:val="18"/>
                <w:szCs w:val="18"/>
              </w:rPr>
            </w:pPr>
            <w:r>
              <w:rPr>
                <w:rFonts w:hint="eastAsia" w:ascii="宋体" w:hAnsi="宋体" w:eastAsia="宋体" w:cs="Times New Roman"/>
                <w:kern w:val="2"/>
                <w:sz w:val="18"/>
                <w:szCs w:val="18"/>
                <w:lang w:val="en-US" w:eastAsia="zh-CN" w:bidi="ar"/>
              </w:rPr>
              <w:t>具体内容及要求详见招标文件。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人民币430万元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一、投标人应当具备《中华人民共和国政府采购法》第二十二条第一款规定的基本条件，并提供下列证明材料：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（一）法人或者其他组织的营业执照等证明文件，自然人的身份证明；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投标人是法人或者其他组织的应提供营业执照等证明文件；投标人是自然人的应提供有效的自然人身份证明。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的，应提供财务状况报告，包括“四表一注”，即资产负债表、利润表、现金流量表、所有者权益变动表及其附注；或提供银行出具的资信证明；或提供专业担保机构出具的投标担保函。针对小企业，根据《财政部关于印发&lt;小企业会计准则&gt;的通知》（财会〔2011〕17号）的规定，小企业的财务报表包括资产负债表、利润表、现金流量表及其附注，可以不含所有者权益变动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缴纳相应税收（如增值税、营业税或企业所得税等）的凭据，缴纳社会保险的凭据（专用收据或社会保险缴纳清单）。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（三）具备履行合同所必需的设备和专业技术能力的证明材料（可以提供证书、承诺书等）；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（四）参加政府采购活动前3年内在经营活动中没有重大违法记录的书面声明（或者在参加政府采购活动前3年内因违法经营被禁止在一定期限内参加政府采购活动，期限已届满）；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（五）具备法律、行政法规规定的其他条件的证明材料。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二、本项目不接受联合体投标。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三、投标人代表若不是法定代表人，则必须提供法定代表人对投标人代表的授权书原件。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四、在开标后至评审前，代理机构将通过中国政府采购网（www.ccgp.gov.cn/）、“信用中国”网站（www.creditchina.gov.cn）、 “信用厦门”网站（www.creditxm.gov.cn）、厦门市政府采购网（www.xmzfcg.gov.cn）等渠道全面查询投标人截止开标当日前3年内的信用及违法记录。对参加政府采购活动前3年内在经营活动中有重大违法记录的供应商，将依法取消其投标或中标资格。（“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获取招标文件时间：即日起至2016年11月12日下午17:30时止，逾期代理机构将不接受报名。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邮寄购买的请将购买招标文件的费用汇入此账号：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2016-11-17 14：00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开标时间同投标截止时间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厦门市湖里区云顶北路842号,厦门市行政服务中心4楼C区开标厅7（C406）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杜小姐、黄先生,0592-2233020、2279331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咨询时间：周一至周五工作日，上午8:00-12:00、下午14:30-17:30。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发布时间为：2016-10-28 17:08:22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"http://www.xmzfcg.gov.cn/filemanager/download/download.jsp?id=dc1b34fb8e43abb7de04a17429836533&amp;sn=30500"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新采购报名表.zip</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http://www.xmzfcg.gov.cn/stockfile/stockfileAction.do?cmd=stockfile_view&amp;sn=58231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D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2017-10-13T03:09:50Z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