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285" w:type="dxa"/>
        <w:jc w:val="center"/>
        <w:tblCellSpacing w:w="0" w:type="dxa"/>
        <w:tblInd w:w="10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6285" w:type="dxa"/>
            <w:shd w:val="clear" w:color="auto" w:fill="FFFFFF"/>
            <w:vAlign w:val="center"/>
          </w:tcPr>
          <w:tbl>
            <w:tblPr>
              <w:tblW w:w="6284" w:type="dxa"/>
              <w:jc w:val="center"/>
              <w:tblCellSpacing w:w="0" w:type="dxa"/>
              <w:tblInd w:w="0" w:type="dxa"/>
              <w:shd w:val="clear"/>
              <w:tblLayout w:type="fixed"/>
              <w:tblCellMar>
                <w:top w:w="150" w:type="dxa"/>
                <w:left w:w="150" w:type="dxa"/>
                <w:bottom w:w="150" w:type="dxa"/>
                <w:right w:w="150" w:type="dxa"/>
              </w:tblCellMar>
            </w:tblPr>
            <w:tblGrid>
              <w:gridCol w:w="2922"/>
              <w:gridCol w:w="3362"/>
            </w:tblGrid>
            <w:tr>
              <w:tblPrEx>
                <w:shd w:val="clear"/>
                <w:tblLayout w:type="fixed"/>
              </w:tblPrEx>
              <w:trPr>
                <w:tblCellSpacing w:w="0" w:type="dxa"/>
                <w:jc w:val="center"/>
              </w:trPr>
              <w:tc>
                <w:tcPr>
                  <w:tcW w:w="6284"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厦门公物-竞争性谈判- GW2016-SH049C-实训室家具采购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GW2016-SH049C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联系人：许老师  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 总台电话：0592-2230888）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实训室家具采购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3362"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kern w:val="0"/>
                      <w:sz w:val="24"/>
                      <w:szCs w:val="21"/>
                      <w:lang w:val="en-US" w:eastAsia="zh-CN" w:bidi="ar"/>
                    </w:rPr>
                    <w:t>实训室家具采购，1项。</w:t>
                  </w:r>
                </w:p>
                <w:p>
                  <w:pPr>
                    <w:keepNext w:val="0"/>
                    <w:keepLines w:val="0"/>
                    <w:widowControl/>
                    <w:suppressLineNumbers w:val="0"/>
                    <w:jc w:val="left"/>
                    <w:rPr>
                      <w:sz w:val="18"/>
                      <w:szCs w:val="18"/>
                    </w:rPr>
                  </w:pPr>
                  <w:r>
                    <w:rPr>
                      <w:rFonts w:hint="eastAsia" w:ascii="宋体" w:hAnsi="宋体" w:eastAsia="宋体" w:cs="Times New Roman"/>
                      <w:kern w:val="2"/>
                      <w:sz w:val="21"/>
                      <w:szCs w:val="21"/>
                      <w:lang w:val="en-US" w:eastAsia="zh-CN" w:bidi="ar"/>
                    </w:rPr>
                    <w:t>其他详见采购文件。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人民币5.97万元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节能、环境标志、信息安全产品、中小企业政府采购政策等，具体详见采购文件。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供应商应当具备《中华人民共和国政府采购法》第二十二条第一款规定的基本条件，并提供下列证明材料：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1、供应商应具有独立的法人资格，并提供营业执照复印件。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3、谈判代表是法定代表人，须提供法定代表人身份证复印件（正反面均需复印）；谈判代表若不是法定代表人，则必须提供法定代表人对谈判代表的授权书原件及谈判代表的身份证复印件（正反面均需复印）。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在响应文件提交截止时间后至评审前，代理机构将通过中国政府采购网（www.ccgp.gov.cn/）、“信用中国”网站（www.creditchina.gov.cn）、 “信用厦门”网站（www.creditxm.gov.cn）、厦门市政府采购网（www.xmzfcg.gov.cn）等渠道全面查询供应商截止评审当日前3年内的信用及违法记录。对参加政府采购活动前3年内在经营活动中有重大违法记录的供应商，将依法拒绝邀请该供应商进行谈判和报价。（“重大违法记录”指供应商因违法经营受到刑事处罚或者责令停产停业、吊销许可证或者执照、较大数额罚款等行政处罚，例如被列入失信被执行人、重大税收违法案件当事人名单、政府采购严重违法失信行为记录名单、“信用厦门”警示警告名单，受到政府采购行政处罚或者存在行贿犯罪记录，且相关信用惩戒期限未满，以及其他不符合《中华人民共和国政府采购法》第二十二条规定条件的。联合体成员存在重大违法记录的，视同联合体存在重大违法记录）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获取采购文件时间：即日起至2016年10月17日下午17：30止，逾期代理机构将不接受报名。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获取采购文件地点：厦门市湖滨南路81号光大银行大厦21楼咨询台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获取采购文件方式：现场或邮寄购买（如需邮寄，邮资到付）。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收款单位：厦门市公物采购招投标有限公司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行：中国农业银行厦门非矿支行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号：40343001040010641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联系人：卢小姐，电话：0592-2230888，传真：0592-2225703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2016-10-18 9：30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厦门市湖滨南路光大银行大厦21楼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叶小姐、杜小姐 0592-22379328、2233020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336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发票一经开出，概不更换。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3362"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628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发布时间为：2016-10-11 17:28:39 </w:t>
                  </w:r>
                </w:p>
              </w:tc>
            </w:tr>
            <w:tr>
              <w:tblPrEx>
                <w:tblLayout w:type="fixed"/>
                <w:tblCellMar>
                  <w:top w:w="150" w:type="dxa"/>
                  <w:left w:w="150" w:type="dxa"/>
                  <w:bottom w:w="150" w:type="dxa"/>
                  <w:right w:w="150" w:type="dxa"/>
                </w:tblCellMar>
              </w:tblPrEx>
              <w:trPr>
                <w:trHeight w:val="16" w:hRule="atLeast"/>
                <w:tblCellSpacing w:w="0" w:type="dxa"/>
                <w:jc w:val="center"/>
              </w:trPr>
              <w:tc>
                <w:tcPr>
                  <w:tcW w:w="628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"http://www.xmzfcg.gov.cn/filemanager/download/download.jsp?id=c3290fd23507abe50f87dcfd455db117&amp;sn=29897"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新采购报名表.zip</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285" w:type="dxa"/>
            <w:shd w:val="clear" w:color="auto" w:fill="FFFFFF"/>
            <w:vAlign w:val="center"/>
          </w:tcPr>
          <w:p>
            <w:pPr>
              <w:keepNext w:val="0"/>
              <w:keepLines w:val="0"/>
              <w:widowControl/>
              <w:suppressLineNumbers w:val="0"/>
              <w:jc w:val="left"/>
              <w:rPr>
                <w:sz w:val="18"/>
                <w:szCs w:val="18"/>
              </w:rPr>
            </w:pP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"http://www.xmzfcg.gov.cn/stockfile/javascript:window.close(0)" </w:instrText>
            </w:r>
            <w:r>
              <w:rPr>
                <w:rFonts w:ascii="宋体" w:hAnsi="宋体" w:eastAsia="宋体" w:cs="宋体"/>
                <w:color w:val="000000"/>
                <w:kern w:val="0"/>
                <w:sz w:val="18"/>
                <w:szCs w:val="18"/>
                <w:u w:val="none"/>
                <w:lang w:val="en-US" w:eastAsia="zh-CN" w:bidi="ar"/>
              </w:rPr>
              <w:fldChar w:fldCharType="separate"/>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http://www.xmzfcg.gov.cn/stockfile/stockfileAction.do?cmd=stockfile_view&amp;sn=57838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8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2017-10-13T04:06:57Z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