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06" w:type="dxa"/>
        <w:jc w:val="center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tbl>
            <w:tblPr>
              <w:tblW w:w="7475" w:type="dxa"/>
              <w:jc w:val="center"/>
              <w:tblCellSpacing w:w="0" w:type="dxa"/>
              <w:tblInd w:w="416" w:type="dxa"/>
              <w:shd w:val="clear"/>
              <w:tblLayout w:type="fixed"/>
              <w:tblCellMar>
                <w:top w:w="150" w:type="dxa"/>
                <w:left w:w="150" w:type="dxa"/>
                <w:bottom w:w="150" w:type="dxa"/>
                <w:right w:w="150" w:type="dxa"/>
              </w:tblCellMar>
            </w:tblPr>
            <w:tblGrid>
              <w:gridCol w:w="2200"/>
              <w:gridCol w:w="5275"/>
            </w:tblGrid>
            <w:tr>
              <w:tblPrEx>
                <w:shd w:val="clear"/>
                <w:tblLayout w:type="fixed"/>
              </w:tblPrEx>
              <w:trPr>
                <w:tblCellSpacing w:w="0" w:type="dxa"/>
                <w:jc w:val="center"/>
              </w:trPr>
              <w:tc>
                <w:tcPr>
                  <w:tcW w:w="7475" w:type="dxa"/>
                  <w:gridSpan w:val="2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公物投资－竞争性谈判－GT2016-SH058C城市职业学院南校区足球场、篮球场围网工程-结果公告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采购项目编号/包号: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GT2016-SH058C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采购人名称、地址和联系方式: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厦门城市职业学院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地址: 前埔南路1263号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联系方式 : 5909730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采购代理机构名称、地址和联系方式: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厦门市公物投资管理有限公司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厦门市湖滨南路81号光大银行大厦21楼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电话：0592-2230888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采购项目名称: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城市职业学院南校区足球场、篮球场围网工程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项目主要内容(用途、数量、简要技术要求、招标项目性质):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1"/>
                      <w:szCs w:val="21"/>
                      <w:lang w:val="en-US" w:eastAsia="zh-CN" w:bidi="ar"/>
                    </w:rPr>
                    <w:t>城市职业学院南校区足球场、篮球场围网工程1项，详见谈判文件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来源: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非市级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采购方式: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竞争性谈判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定标日期(确定成交日期):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2016-11-25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本项目信息公告日期: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2016-11-18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中标、成交供应商名称、地址: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――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中标、成交项目主要内容(含品牌、规格型号、制造商、数量、主要配置、技术要求等):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城市职业学院南校区足球场、篮球场围网工程1项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中标、成交金额(万元):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0.000000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合同履行日期: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――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评标委员会(谈判小组、询价小组)成员名单: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王丽英、袁喜华、杨文标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采购项目联系人姓名和电话: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林小姐：0592-2221109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其他: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wordWrap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本项目分别于2016年11月9日和2016年11月18日在厦门市政府采购网、中国政府采购网上发布竞争性谈判采购公告，至第二次谈判规定的响应文件递交截止时间2016年11月24日09：30时止，仅1家供应商（福建省龙禹建设工程有限公司）递交了响应文件，根据谈判文件规定，竞争性谈判采购失败。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根据厦门市政府137号令第十八条、十九条规定，本项目转为单一来源方式采购。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成交供应商：福建省龙禹建设工程有限公司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地址：厦门市湖里区云顶中路2777号市政大厦六层20单元-1 </w:t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br w:type="textWrapping"/>
                  </w: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成交价格（万元）：13.28。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采购补充通知: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采购结果发布时间: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18"/>
                      <w:szCs w:val="18"/>
                      <w:lang w:val="en-US" w:eastAsia="zh-CN" w:bidi="ar"/>
                    </w:rPr>
                    <w:t xml:space="preserve">2016-11-25 11:26:00 </w:t>
                  </w:r>
                </w:p>
              </w:tc>
            </w:tr>
            <w:tr>
              <w:tblPrEx>
                <w:tblLayout w:type="fixed"/>
                <w:tblCellMar>
                  <w:top w:w="150" w:type="dxa"/>
                  <w:left w:w="150" w:type="dxa"/>
                  <w:bottom w:w="150" w:type="dxa"/>
                  <w:right w:w="150" w:type="dxa"/>
                </w:tblCellMar>
              </w:tblPrEx>
              <w:trPr>
                <w:trHeight w:val="16" w:hRule="atLeast"/>
                <w:tblCellSpacing w:w="0" w:type="dxa"/>
                <w:jc w:val="center"/>
              </w:trPr>
              <w:tc>
                <w:tcPr>
                  <w:tcW w:w="2200" w:type="dxa"/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kern w:val="0"/>
                      <w:sz w:val="18"/>
                      <w:szCs w:val="18"/>
                      <w:lang w:val="en-US" w:eastAsia="zh-CN" w:bidi="ar"/>
                    </w:rPr>
                    <w:t>采购文件:</w:t>
                  </w:r>
                </w:p>
              </w:tc>
              <w:tc>
                <w:tcPr>
                  <w:tcW w:w="5275" w:type="dxa"/>
                  <w:shd w:val="clear"/>
                  <w:vAlign w:val="center"/>
                </w:tcPr>
                <w:p>
                  <w:pPr>
                    <w:jc w:val="left"/>
                    <w:rPr>
                      <w:rFonts w:hint="eastAsia" w:ascii="宋体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3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"http://www.xmzfcg.gov.cn/claim/javascript:window.close(0)" </w:instrText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begin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instrText xml:space="preserve">INCLUDEPICTURE \d "http://www.xmzfcg.gov.cn/claim/../images/msg2_t2.gif" \* MERGEFORMATINET </w:instrText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separate"/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drawing>
                <wp:inline distT="0" distB="0" distL="114300" distR="114300">
                  <wp:extent cx="5857875" cy="20002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5787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4"/>
                <w:rFonts w:ascii="宋体" w:hAnsi="宋体" w:eastAsia="宋体" w:cs="宋体"/>
                <w:color w:val="000000"/>
                <w:sz w:val="18"/>
                <w:szCs w:val="18"/>
                <w:u w:val="none"/>
              </w:rPr>
              <w:fldChar w:fldCharType="end"/>
            </w: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41432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styleId="4">
    <w:name w:val="Hyperlink"/>
    <w:basedOn w:val="2"/>
    <w:uiPriority w:val="0"/>
    <w:rPr>
      <w:rFonts w:hint="eastAsia" w:ascii="宋体" w:hAnsi="宋体" w:eastAsia="宋体" w:cs="宋体"/>
      <w:color w:val="666666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2017-03-22T09:29:40Z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